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C00" w:rsidRPr="00334C00" w:rsidRDefault="00334C00" w:rsidP="00334C00">
      <w:pPr>
        <w:rPr>
          <w:rFonts w:ascii="Times New Roman" w:hAnsi="Times New Roman" w:cs="Times New Roman"/>
          <w:lang w:val="en-GB"/>
        </w:rPr>
      </w:pPr>
      <w:r w:rsidRPr="00334C00">
        <w:rPr>
          <w:rFonts w:ascii="Times New Roman" w:hAnsi="Times New Roman" w:cs="Times New Roman"/>
        </w:rPr>
        <w:t xml:space="preserve"> Politsei- ja Piirivalveamet (edaspidi hankija) teeb Teile ettepaneku esitada pakkumus vastavalt hankija poolt esitatud tingimustele. </w:t>
      </w:r>
    </w:p>
    <w:p w:rsidR="00334C00" w:rsidRPr="00334C00" w:rsidRDefault="00334C00" w:rsidP="00334C00">
      <w:pPr>
        <w:spacing w:line="252" w:lineRule="auto"/>
        <w:rPr>
          <w:rFonts w:ascii="Times New Roman" w:hAnsi="Times New Roman" w:cs="Times New Roman"/>
          <w:lang w:val="en-GB"/>
        </w:rPr>
      </w:pPr>
      <w:r w:rsidRPr="00334C00">
        <w:rPr>
          <w:rFonts w:ascii="Times New Roman" w:hAnsi="Times New Roman" w:cs="Times New Roman"/>
        </w:rPr>
        <w:t> </w:t>
      </w:r>
    </w:p>
    <w:p w:rsidR="00334C00" w:rsidRPr="00334C00" w:rsidRDefault="00334C00" w:rsidP="00334C00">
      <w:pPr>
        <w:pStyle w:val="Alapealkiri1"/>
        <w:ind w:left="284" w:firstLine="142"/>
        <w:rPr>
          <w:rFonts w:ascii="Times New Roman" w:hAnsi="Times New Roman" w:cs="Times New Roman"/>
        </w:rPr>
      </w:pPr>
      <w:r w:rsidRPr="00334C00">
        <w:rPr>
          <w:rFonts w:ascii="Times New Roman" w:hAnsi="Times New Roman" w:cs="Times New Roman"/>
        </w:rPr>
        <w:t xml:space="preserve">Üldtingimused </w:t>
      </w:r>
    </w:p>
    <w:p w:rsidR="00334C00" w:rsidRPr="00334C00" w:rsidRDefault="00334C00" w:rsidP="00334C00">
      <w:pPr>
        <w:pStyle w:val="Default"/>
        <w:numPr>
          <w:ilvl w:val="1"/>
          <w:numId w:val="1"/>
        </w:numPr>
        <w:ind w:left="993" w:hanging="563"/>
        <w:jc w:val="both"/>
        <w:rPr>
          <w:sz w:val="22"/>
          <w:szCs w:val="22"/>
        </w:rPr>
      </w:pPr>
      <w:r w:rsidRPr="00334C00">
        <w:rPr>
          <w:sz w:val="22"/>
          <w:szCs w:val="22"/>
        </w:rPr>
        <w:t xml:space="preserve">Väikeostu nimetus: „Taktikaliste kinnaste ostmine“. </w:t>
      </w:r>
    </w:p>
    <w:p w:rsidR="00334C00" w:rsidRPr="00334C00" w:rsidRDefault="00334C00" w:rsidP="00334C00">
      <w:pPr>
        <w:pStyle w:val="Default"/>
        <w:numPr>
          <w:ilvl w:val="1"/>
          <w:numId w:val="1"/>
        </w:numPr>
        <w:ind w:left="993" w:hanging="563"/>
        <w:jc w:val="both"/>
        <w:rPr>
          <w:sz w:val="22"/>
          <w:szCs w:val="22"/>
        </w:rPr>
      </w:pPr>
      <w:r w:rsidRPr="00334C00">
        <w:rPr>
          <w:sz w:val="22"/>
          <w:szCs w:val="22"/>
        </w:rPr>
        <w:t xml:space="preserve">Hankija kontaktisik: </w:t>
      </w:r>
      <w:r w:rsidRPr="00334C00">
        <w:rPr>
          <w:b/>
          <w:bCs/>
          <w:sz w:val="22"/>
          <w:szCs w:val="22"/>
        </w:rPr>
        <w:t>Ilona Horn</w:t>
      </w:r>
      <w:r w:rsidRPr="00334C00">
        <w:rPr>
          <w:sz w:val="22"/>
          <w:szCs w:val="22"/>
        </w:rPr>
        <w:t xml:space="preserve">, e-post: </w:t>
      </w:r>
      <w:hyperlink r:id="rId5" w:history="1">
        <w:r w:rsidRPr="00334C00">
          <w:rPr>
            <w:rStyle w:val="Hyperlink"/>
            <w:b/>
            <w:bCs/>
            <w:sz w:val="22"/>
            <w:szCs w:val="22"/>
          </w:rPr>
          <w:t>ilona.horn@politsei.ee</w:t>
        </w:r>
      </w:hyperlink>
      <w:r w:rsidRPr="00334C00">
        <w:rPr>
          <w:sz w:val="22"/>
          <w:szCs w:val="22"/>
        </w:rPr>
        <w:t>.</w:t>
      </w:r>
    </w:p>
    <w:p w:rsidR="00334C00" w:rsidRPr="00334C00" w:rsidRDefault="00334C00" w:rsidP="00334C00">
      <w:pPr>
        <w:pStyle w:val="ListParagraph"/>
        <w:numPr>
          <w:ilvl w:val="1"/>
          <w:numId w:val="1"/>
        </w:numPr>
        <w:spacing w:after="0"/>
        <w:ind w:left="993" w:hanging="563"/>
        <w:rPr>
          <w:rFonts w:ascii="Times New Roman" w:hAnsi="Times New Roman" w:cs="Times New Roman"/>
        </w:rPr>
      </w:pPr>
      <w:r w:rsidRPr="00334C00">
        <w:rPr>
          <w:rFonts w:ascii="Times New Roman" w:hAnsi="Times New Roman" w:cs="Times New Roman"/>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334C00" w:rsidRPr="00334C00" w:rsidRDefault="00334C00" w:rsidP="00334C00">
      <w:pPr>
        <w:pStyle w:val="ListParagraph"/>
        <w:numPr>
          <w:ilvl w:val="1"/>
          <w:numId w:val="1"/>
        </w:numPr>
        <w:spacing w:after="0"/>
        <w:ind w:left="993" w:hanging="563"/>
        <w:rPr>
          <w:rFonts w:ascii="Times New Roman" w:hAnsi="Times New Roman" w:cs="Times New Roman"/>
        </w:rPr>
      </w:pPr>
      <w:r w:rsidRPr="00334C00">
        <w:rPr>
          <w:rFonts w:ascii="Times New Roman" w:hAnsi="Times New Roman" w:cs="Times New Roman"/>
        </w:rPr>
        <w:t>Hankijal on õigus enne pakkumuste esitamise tähtaega vajadusel muuta väikeostu dokumente. Väikeostu dokumentide muutmisel teavitab hankija sellest kõiki ettevõtjaid, kellele on tehtud ettepanek pakkumuse esitamiseks.</w:t>
      </w:r>
    </w:p>
    <w:p w:rsidR="00334C00" w:rsidRPr="00334C00" w:rsidRDefault="00334C00" w:rsidP="00334C00">
      <w:pPr>
        <w:pStyle w:val="Default"/>
        <w:numPr>
          <w:ilvl w:val="1"/>
          <w:numId w:val="1"/>
        </w:numPr>
        <w:ind w:left="993" w:hanging="563"/>
        <w:jc w:val="both"/>
        <w:rPr>
          <w:sz w:val="22"/>
          <w:szCs w:val="22"/>
        </w:rPr>
      </w:pPr>
      <w:r w:rsidRPr="00334C00">
        <w:rPr>
          <w:sz w:val="22"/>
          <w:szCs w:val="22"/>
        </w:rPr>
        <w:t>Iga viidet, mille hankija teeb väikeostu dokumentides mõnele standardile, tehnilisele tunnustusele, tehnilisele kontrollisüsteemile vms kui pakkumuse tehnilisele kirjeldusele vastavuse kriteeriumile, tuleb lugeda selliselt, et see on täiendatud märkega „või sellega samaväärne“. Iga viidet, mille hankija teeb väikeostu dokumentides ostuallikale, protsessile, kaubamärgile, patendile, tüübile, päritolule või tootmisviisile, tuleb lugeda selliselt, et see on täiendatud märkega „või sellega samaväärne“.</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rsidR="00334C00" w:rsidRPr="00334C00" w:rsidRDefault="00334C00" w:rsidP="00334C00">
      <w:pPr>
        <w:pStyle w:val="Default"/>
        <w:numPr>
          <w:ilvl w:val="1"/>
          <w:numId w:val="1"/>
        </w:numPr>
        <w:ind w:left="993" w:hanging="563"/>
        <w:jc w:val="both"/>
        <w:rPr>
          <w:sz w:val="22"/>
          <w:szCs w:val="22"/>
        </w:rPr>
      </w:pPr>
      <w:r w:rsidRPr="00334C00">
        <w:rPr>
          <w:sz w:val="22"/>
          <w:szCs w:val="22"/>
        </w:rPr>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rsidR="00334C00" w:rsidRPr="00334C00" w:rsidRDefault="00334C00" w:rsidP="00334C00">
      <w:pPr>
        <w:spacing w:line="252" w:lineRule="auto"/>
        <w:ind w:left="705"/>
        <w:rPr>
          <w:rFonts w:ascii="Times New Roman" w:hAnsi="Times New Roman" w:cs="Times New Roman"/>
        </w:rPr>
      </w:pPr>
      <w:r w:rsidRPr="00334C00">
        <w:rPr>
          <w:rFonts w:ascii="Times New Roman" w:hAnsi="Times New Roman" w:cs="Times New Roman"/>
        </w:rPr>
        <w:t> </w:t>
      </w:r>
    </w:p>
    <w:p w:rsidR="00334C00" w:rsidRPr="00334C00" w:rsidRDefault="00334C00" w:rsidP="00334C00">
      <w:pPr>
        <w:spacing w:line="252" w:lineRule="auto"/>
        <w:ind w:left="705"/>
        <w:rPr>
          <w:rFonts w:ascii="Times New Roman" w:hAnsi="Times New Roman" w:cs="Times New Roman"/>
        </w:rPr>
      </w:pPr>
      <w:r w:rsidRPr="00334C00">
        <w:rPr>
          <w:rFonts w:ascii="Times New Roman" w:hAnsi="Times New Roman" w:cs="Times New Roman"/>
        </w:rPr>
        <w:t> </w:t>
      </w:r>
    </w:p>
    <w:p w:rsidR="00334C00" w:rsidRPr="00334C00" w:rsidRDefault="00334C00" w:rsidP="00334C00">
      <w:pPr>
        <w:pStyle w:val="Alapealkiri1"/>
        <w:spacing w:line="252" w:lineRule="auto"/>
        <w:rPr>
          <w:rFonts w:ascii="Times New Roman" w:hAnsi="Times New Roman" w:cs="Times New Roman"/>
          <w:lang w:val="en-GB"/>
        </w:rPr>
      </w:pPr>
      <w:r w:rsidRPr="00334C00">
        <w:rPr>
          <w:rFonts w:ascii="Times New Roman" w:hAnsi="Times New Roman" w:cs="Times New Roman"/>
        </w:rPr>
        <w:t xml:space="preserve">Ostetava asja kirjeldus </w:t>
      </w:r>
    </w:p>
    <w:p w:rsidR="00334C00" w:rsidRPr="00334C00" w:rsidRDefault="00334C00" w:rsidP="00334C00">
      <w:pPr>
        <w:spacing w:line="252" w:lineRule="auto"/>
        <w:ind w:left="436"/>
        <w:rPr>
          <w:rFonts w:ascii="Times New Roman" w:hAnsi="Times New Roman" w:cs="Times New Roman"/>
          <w:lang w:val="en-GB"/>
        </w:rPr>
      </w:pPr>
      <w:r w:rsidRPr="00334C00">
        <w:rPr>
          <w:rFonts w:ascii="Times New Roman" w:hAnsi="Times New Roman" w:cs="Times New Roman"/>
          <w:b/>
          <w:bCs/>
        </w:rPr>
        <w:t> </w:t>
      </w:r>
    </w:p>
    <w:p w:rsidR="00334C00" w:rsidRPr="00334C00" w:rsidRDefault="00334C00" w:rsidP="00334C00">
      <w:pPr>
        <w:ind w:left="160" w:right="5"/>
        <w:rPr>
          <w:rFonts w:ascii="Times New Roman" w:hAnsi="Times New Roman" w:cs="Times New Roman"/>
          <w:lang w:val="en-GB"/>
        </w:rPr>
      </w:pPr>
      <w:r w:rsidRPr="00334C00">
        <w:rPr>
          <w:rFonts w:ascii="Times New Roman" w:hAnsi="Times New Roman" w:cs="Times New Roman"/>
        </w:rPr>
        <w:t xml:space="preserve">2.1 Ostetavate esemete kirjeldus on välja toodud allolevas Tabelis 1. </w:t>
      </w:r>
    </w:p>
    <w:p w:rsidR="00334C00" w:rsidRPr="00334C00" w:rsidRDefault="00334C00" w:rsidP="00334C00">
      <w:pPr>
        <w:ind w:left="160" w:right="5"/>
        <w:rPr>
          <w:rFonts w:ascii="Times New Roman" w:hAnsi="Times New Roman" w:cs="Times New Roman"/>
          <w:lang w:val="en-GB"/>
        </w:rPr>
      </w:pPr>
      <w:r w:rsidRPr="00334C00">
        <w:rPr>
          <w:rFonts w:ascii="Times New Roman" w:hAnsi="Times New Roman" w:cs="Times New Roman"/>
        </w:rPr>
        <w:t xml:space="preserve">2.2 Ostetavad esemed peavad vastama tehnilises kirjelduses olevale. </w:t>
      </w:r>
    </w:p>
    <w:p w:rsidR="00334C00" w:rsidRPr="00334C00" w:rsidRDefault="00334C00" w:rsidP="00334C00">
      <w:pPr>
        <w:spacing w:line="252" w:lineRule="auto"/>
        <w:ind w:left="150"/>
        <w:rPr>
          <w:rFonts w:ascii="Times New Roman" w:hAnsi="Times New Roman" w:cs="Times New Roman"/>
          <w:lang w:val="en-GB"/>
        </w:rPr>
      </w:pPr>
      <w:r w:rsidRPr="00334C00">
        <w:rPr>
          <w:rFonts w:ascii="Times New Roman" w:hAnsi="Times New Roman" w:cs="Times New Roman"/>
        </w:rPr>
        <w:t> </w:t>
      </w:r>
    </w:p>
    <w:p w:rsidR="00334C00" w:rsidRPr="00334C00" w:rsidRDefault="00334C00" w:rsidP="00334C00">
      <w:pPr>
        <w:ind w:left="160" w:right="5"/>
        <w:rPr>
          <w:rFonts w:ascii="Times New Roman" w:hAnsi="Times New Roman" w:cs="Times New Roman"/>
          <w:i/>
          <w:iCs/>
        </w:rPr>
      </w:pPr>
      <w:r w:rsidRPr="00334C00">
        <w:rPr>
          <w:rFonts w:ascii="Times New Roman" w:hAnsi="Times New Roman" w:cs="Times New Roman"/>
        </w:rPr>
        <w:t>Tabel 1. Ostetavate esemete tehniline kirjeldus</w:t>
      </w:r>
    </w:p>
    <w:p w:rsidR="00334C00" w:rsidRPr="00334C00" w:rsidRDefault="00334C00" w:rsidP="00334C00">
      <w:pPr>
        <w:ind w:right="5"/>
        <w:rPr>
          <w:rFonts w:ascii="Times New Roman" w:hAnsi="Times New Roman" w:cs="Times New Roman"/>
          <w:lang w:val="en-GB"/>
        </w:rPr>
      </w:pPr>
    </w:p>
    <w:tbl>
      <w:tblPr>
        <w:tblW w:w="0" w:type="auto"/>
        <w:tblCellMar>
          <w:left w:w="0" w:type="dxa"/>
          <w:right w:w="0" w:type="dxa"/>
        </w:tblCellMar>
        <w:tblLook w:val="04A0" w:firstRow="1" w:lastRow="0" w:firstColumn="1" w:lastColumn="0" w:noHBand="0" w:noVBand="1"/>
      </w:tblPr>
      <w:tblGrid>
        <w:gridCol w:w="4605"/>
        <w:gridCol w:w="4447"/>
      </w:tblGrid>
      <w:tr w:rsidR="00334C00" w:rsidRPr="00334C00" w:rsidTr="00334C00">
        <w:tc>
          <w:tcPr>
            <w:tcW w:w="4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C00" w:rsidRPr="00334C00" w:rsidRDefault="00334C00" w:rsidP="00334C00">
            <w:pPr>
              <w:spacing w:after="0" w:line="236" w:lineRule="auto"/>
              <w:ind w:left="113"/>
              <w:rPr>
                <w:rFonts w:ascii="Times New Roman" w:hAnsi="Times New Roman" w:cs="Times New Roman"/>
              </w:rPr>
            </w:pPr>
            <w:r w:rsidRPr="00334C00">
              <w:rPr>
                <w:rFonts w:ascii="Times New Roman" w:hAnsi="Times New Roman" w:cs="Times New Roman"/>
              </w:rPr>
              <w:lastRenderedPageBreak/>
              <w:t xml:space="preserve">Taktikalised töökindad - Mudel MOG Target </w:t>
            </w:r>
            <w:proofErr w:type="spellStart"/>
            <w:r w:rsidRPr="00334C00">
              <w:rPr>
                <w:rFonts w:ascii="Times New Roman" w:hAnsi="Times New Roman" w:cs="Times New Roman"/>
              </w:rPr>
              <w:t>Light</w:t>
            </w:r>
            <w:proofErr w:type="spellEnd"/>
            <w:r w:rsidRPr="00334C00">
              <w:rPr>
                <w:rFonts w:ascii="Times New Roman" w:hAnsi="Times New Roman" w:cs="Times New Roman"/>
              </w:rPr>
              <w:t xml:space="preserve"> </w:t>
            </w:r>
            <w:proofErr w:type="spellStart"/>
            <w:r w:rsidRPr="00334C00">
              <w:rPr>
                <w:rFonts w:ascii="Times New Roman" w:hAnsi="Times New Roman" w:cs="Times New Roman"/>
              </w:rPr>
              <w:t>Duty</w:t>
            </w:r>
            <w:proofErr w:type="spellEnd"/>
            <w:r w:rsidRPr="00334C00">
              <w:rPr>
                <w:rFonts w:ascii="Times New Roman" w:hAnsi="Times New Roman" w:cs="Times New Roman"/>
              </w:rPr>
              <w:t xml:space="preserve">  või muu </w:t>
            </w:r>
          </w:p>
          <w:p w:rsidR="00334C00" w:rsidRPr="00334C00" w:rsidRDefault="00E42AF2" w:rsidP="00334C00">
            <w:pPr>
              <w:spacing w:after="1" w:line="236" w:lineRule="auto"/>
              <w:ind w:left="113" w:right="1685"/>
              <w:rPr>
                <w:rFonts w:ascii="Times New Roman" w:hAnsi="Times New Roman" w:cs="Times New Roman"/>
              </w:rPr>
            </w:pPr>
            <w:r>
              <w:rPr>
                <w:rFonts w:ascii="Times New Roman" w:hAnsi="Times New Roman" w:cs="Times New Roman"/>
              </w:rPr>
              <w:t>s</w:t>
            </w:r>
            <w:r w:rsidR="00334C00" w:rsidRPr="00334C00">
              <w:rPr>
                <w:rFonts w:ascii="Times New Roman" w:hAnsi="Times New Roman" w:cs="Times New Roman"/>
              </w:rPr>
              <w:t>amaväärne</w:t>
            </w:r>
            <w:r>
              <w:rPr>
                <w:rFonts w:ascii="Times New Roman" w:hAnsi="Times New Roman" w:cs="Times New Roman"/>
              </w:rPr>
              <w:t xml:space="preserve"> toode </w:t>
            </w:r>
            <w:r w:rsidR="00334C00" w:rsidRPr="00334C00">
              <w:rPr>
                <w:rFonts w:ascii="Times New Roman" w:hAnsi="Times New Roman" w:cs="Times New Roman"/>
              </w:rPr>
              <w:t xml:space="preserve"> </w:t>
            </w:r>
            <w:r>
              <w:rPr>
                <w:rFonts w:ascii="Times New Roman" w:hAnsi="Times New Roman" w:cs="Times New Roman"/>
              </w:rPr>
              <w:t>Näidis</w:t>
            </w:r>
            <w:r w:rsidR="00334C00" w:rsidRPr="00334C00">
              <w:rPr>
                <w:rFonts w:ascii="Times New Roman" w:hAnsi="Times New Roman" w:cs="Times New Roman"/>
              </w:rPr>
              <w:t xml:space="preserve">toote link: </w:t>
            </w:r>
          </w:p>
          <w:bookmarkStart w:id="0" w:name="_GoBack"/>
          <w:p w:rsidR="00334C00" w:rsidRPr="00334C00" w:rsidRDefault="00E60852" w:rsidP="00334C00">
            <w:pPr>
              <w:ind w:right="5"/>
              <w:rPr>
                <w:rFonts w:ascii="Times New Roman" w:hAnsi="Times New Roman" w:cs="Times New Roman"/>
                <w:lang w:val="en-GB"/>
              </w:rPr>
            </w:pPr>
            <w:r>
              <w:fldChar w:fldCharType="begin"/>
            </w:r>
            <w:r>
              <w:instrText xml:space="preserve"> HYPERLINK "https://www.moggloves.com/target-light-duty-black-tactical-glove-for-defense-police-law-enforcement-security-and-customs/" </w:instrText>
            </w:r>
            <w:r>
              <w:fldChar w:fldCharType="separate"/>
            </w:r>
            <w:r w:rsidR="00334C00" w:rsidRPr="00334C00">
              <w:rPr>
                <w:rStyle w:val="Hyperlink"/>
                <w:rFonts w:ascii="Times New Roman" w:hAnsi="Times New Roman" w:cs="Times New Roman"/>
              </w:rPr>
              <w:t>https://www.moggloves.com/target-light-duty-black-tactical-glove-for-defense-police-law-enforcement-security-and-customs/</w:t>
            </w:r>
            <w:r>
              <w:rPr>
                <w:rStyle w:val="Hyperlink"/>
                <w:rFonts w:ascii="Times New Roman" w:hAnsi="Times New Roman" w:cs="Times New Roman"/>
              </w:rPr>
              <w:fldChar w:fldCharType="end"/>
            </w:r>
            <w:bookmarkEnd w:id="0"/>
          </w:p>
        </w:tc>
        <w:tc>
          <w:tcPr>
            <w:tcW w:w="44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34C00" w:rsidRPr="00334C00" w:rsidRDefault="00334C00" w:rsidP="00334C00">
            <w:pPr>
              <w:spacing w:after="0"/>
              <w:rPr>
                <w:rFonts w:ascii="Times New Roman" w:eastAsia="Calibri" w:hAnsi="Times New Roman" w:cs="Times New Roman"/>
                <w:color w:val="000000"/>
                <w:sz w:val="23"/>
                <w:lang w:eastAsia="et-EE"/>
              </w:rPr>
            </w:pPr>
            <w:r w:rsidRPr="00334C00">
              <w:rPr>
                <w:rFonts w:ascii="Times New Roman" w:eastAsia="Calibri" w:hAnsi="Times New Roman" w:cs="Times New Roman"/>
                <w:color w:val="000000"/>
                <w:sz w:val="23"/>
                <w:lang w:eastAsia="et-EE"/>
              </w:rPr>
              <w:t>Kindad on kõrge tundlikkusega;</w:t>
            </w:r>
          </w:p>
          <w:p w:rsidR="00334C00" w:rsidRPr="00334C00" w:rsidRDefault="00334C00" w:rsidP="00334C00">
            <w:pPr>
              <w:spacing w:after="15" w:line="236" w:lineRule="auto"/>
              <w:rPr>
                <w:rFonts w:ascii="Times New Roman" w:eastAsia="Calibri" w:hAnsi="Times New Roman" w:cs="Times New Roman"/>
                <w:color w:val="000000"/>
                <w:sz w:val="23"/>
                <w:lang w:eastAsia="et-EE"/>
              </w:rPr>
            </w:pPr>
            <w:r w:rsidRPr="00334C00">
              <w:rPr>
                <w:rFonts w:ascii="Times New Roman" w:eastAsia="Calibri" w:hAnsi="Times New Roman" w:cs="Times New Roman"/>
                <w:color w:val="000000"/>
                <w:sz w:val="23"/>
                <w:lang w:eastAsia="et-EE"/>
              </w:rPr>
              <w:t>Kindad ei tohi pärssida peenmotoorikat;</w:t>
            </w:r>
          </w:p>
          <w:p w:rsidR="00334C00" w:rsidRPr="00334C00" w:rsidRDefault="00334C00" w:rsidP="00334C00">
            <w:pPr>
              <w:spacing w:after="0"/>
              <w:ind w:right="467"/>
              <w:jc w:val="both"/>
              <w:rPr>
                <w:rFonts w:ascii="Times New Roman" w:eastAsia="Calibri" w:hAnsi="Times New Roman" w:cs="Times New Roman"/>
                <w:color w:val="000000"/>
                <w:sz w:val="23"/>
                <w:lang w:eastAsia="et-EE"/>
              </w:rPr>
            </w:pPr>
            <w:r w:rsidRPr="00334C00">
              <w:rPr>
                <w:rFonts w:ascii="Times New Roman" w:eastAsia="Calibri" w:hAnsi="Times New Roman" w:cs="Times New Roman"/>
                <w:color w:val="000000"/>
                <w:sz w:val="23"/>
                <w:lang w:eastAsia="et-EE"/>
              </w:rPr>
              <w:t>Kindaid on võimalik kasutada muuhulgas ka kaitseväe ja politsei taktikalistele üksustele relva käsitsemiseks ja taktikaliste operatsioonide läbiviimiseks;</w:t>
            </w:r>
          </w:p>
          <w:p w:rsidR="00334C00" w:rsidRPr="00334C00" w:rsidRDefault="00334C00" w:rsidP="00334C00">
            <w:pPr>
              <w:spacing w:after="0"/>
              <w:ind w:right="467"/>
              <w:jc w:val="both"/>
              <w:rPr>
                <w:rFonts w:ascii="Times New Roman" w:eastAsia="Calibri" w:hAnsi="Times New Roman" w:cs="Times New Roman"/>
                <w:color w:val="000000"/>
                <w:sz w:val="23"/>
                <w:lang w:eastAsia="et-EE"/>
              </w:rPr>
            </w:pPr>
            <w:r w:rsidRPr="00334C00">
              <w:rPr>
                <w:rFonts w:ascii="Times New Roman" w:eastAsia="Calibri" w:hAnsi="Times New Roman" w:cs="Times New Roman"/>
                <w:color w:val="000000"/>
                <w:sz w:val="23"/>
                <w:lang w:eastAsia="et-EE"/>
              </w:rPr>
              <w:t>Kinnaste peopesad on töödeldud silikooni või muu samaväärse materjaliga, tagamaks haardumise;</w:t>
            </w:r>
          </w:p>
          <w:p w:rsidR="00334C00" w:rsidRPr="00334C00" w:rsidRDefault="00334C00" w:rsidP="00334C00">
            <w:pPr>
              <w:spacing w:after="0"/>
              <w:ind w:right="467"/>
              <w:jc w:val="both"/>
              <w:rPr>
                <w:rFonts w:ascii="Times New Roman" w:eastAsia="Calibri" w:hAnsi="Times New Roman" w:cs="Times New Roman"/>
                <w:color w:val="000000"/>
                <w:sz w:val="23"/>
                <w:lang w:eastAsia="et-EE"/>
              </w:rPr>
            </w:pPr>
            <w:r w:rsidRPr="00334C00">
              <w:rPr>
                <w:rFonts w:ascii="Times New Roman" w:eastAsia="Calibri" w:hAnsi="Times New Roman" w:cs="Times New Roman"/>
                <w:color w:val="000000"/>
                <w:sz w:val="23"/>
                <w:lang w:eastAsia="et-EE"/>
              </w:rPr>
              <w:t>Kindad on „</w:t>
            </w:r>
            <w:proofErr w:type="spellStart"/>
            <w:r w:rsidRPr="00334C00">
              <w:rPr>
                <w:rFonts w:ascii="Times New Roman" w:eastAsia="Calibri" w:hAnsi="Times New Roman" w:cs="Times New Roman"/>
                <w:i/>
                <w:color w:val="000000"/>
                <w:sz w:val="23"/>
                <w:lang w:eastAsia="et-EE"/>
              </w:rPr>
              <w:t>slim</w:t>
            </w:r>
            <w:proofErr w:type="spellEnd"/>
            <w:r w:rsidRPr="00334C00">
              <w:rPr>
                <w:rFonts w:ascii="Times New Roman" w:eastAsia="Calibri" w:hAnsi="Times New Roman" w:cs="Times New Roman"/>
                <w:i/>
                <w:color w:val="000000"/>
                <w:sz w:val="23"/>
                <w:lang w:eastAsia="et-EE"/>
              </w:rPr>
              <w:t xml:space="preserve"> </w:t>
            </w:r>
            <w:proofErr w:type="spellStart"/>
            <w:r w:rsidRPr="00334C00">
              <w:rPr>
                <w:rFonts w:ascii="Times New Roman" w:eastAsia="Calibri" w:hAnsi="Times New Roman" w:cs="Times New Roman"/>
                <w:i/>
                <w:color w:val="000000"/>
                <w:sz w:val="23"/>
                <w:lang w:eastAsia="et-EE"/>
              </w:rPr>
              <w:t>fit</w:t>
            </w:r>
            <w:proofErr w:type="spellEnd"/>
            <w:r w:rsidRPr="00334C00">
              <w:rPr>
                <w:rFonts w:ascii="Times New Roman" w:eastAsia="Calibri" w:hAnsi="Times New Roman" w:cs="Times New Roman"/>
                <w:color w:val="000000"/>
                <w:sz w:val="23"/>
                <w:lang w:eastAsia="et-EE"/>
              </w:rPr>
              <w:t>“;</w:t>
            </w:r>
          </w:p>
          <w:p w:rsidR="00334C00" w:rsidRPr="00334C00" w:rsidRDefault="00334C00" w:rsidP="00334C00">
            <w:pPr>
              <w:spacing w:after="0"/>
              <w:ind w:right="467"/>
              <w:jc w:val="both"/>
              <w:rPr>
                <w:rFonts w:ascii="Times New Roman" w:eastAsia="Calibri" w:hAnsi="Times New Roman" w:cs="Times New Roman"/>
                <w:color w:val="000000"/>
                <w:sz w:val="23"/>
                <w:lang w:eastAsia="et-EE"/>
              </w:rPr>
            </w:pPr>
            <w:r w:rsidRPr="00334C00">
              <w:rPr>
                <w:rFonts w:ascii="Times New Roman" w:eastAsia="Calibri" w:hAnsi="Times New Roman" w:cs="Times New Roman"/>
                <w:color w:val="000000"/>
                <w:sz w:val="23"/>
                <w:lang w:eastAsia="et-EE"/>
              </w:rPr>
              <w:t>Kinnaste käeseljal kasutatud materjal on hingav, kiiresti kuivav ja veniv;</w:t>
            </w:r>
          </w:p>
          <w:p w:rsidR="00334C00" w:rsidRPr="00334C00" w:rsidRDefault="00334C00" w:rsidP="00334C00">
            <w:pPr>
              <w:ind w:right="17"/>
              <w:rPr>
                <w:rFonts w:ascii="Times New Roman" w:eastAsia="Calibri" w:hAnsi="Times New Roman" w:cs="Times New Roman"/>
                <w:color w:val="000000"/>
                <w:sz w:val="23"/>
                <w:lang w:eastAsia="et-EE"/>
              </w:rPr>
            </w:pPr>
            <w:r w:rsidRPr="00334C00">
              <w:rPr>
                <w:rFonts w:ascii="Times New Roman" w:eastAsia="Calibri" w:hAnsi="Times New Roman" w:cs="Times New Roman"/>
                <w:color w:val="000000"/>
                <w:sz w:val="23"/>
                <w:lang w:eastAsia="et-EE"/>
              </w:rPr>
              <w:t>Kinnaste sõrmeotsad on puutetundlikud;</w:t>
            </w:r>
          </w:p>
          <w:p w:rsidR="00334C00" w:rsidRPr="00334C00" w:rsidRDefault="00334C00" w:rsidP="00334C00">
            <w:pPr>
              <w:ind w:right="17"/>
              <w:rPr>
                <w:rFonts w:ascii="Times New Roman" w:hAnsi="Times New Roman" w:cs="Times New Roman"/>
              </w:rPr>
            </w:pPr>
            <w:r w:rsidRPr="00334C00">
              <w:rPr>
                <w:rFonts w:ascii="Times New Roman" w:hAnsi="Times New Roman" w:cs="Times New Roman"/>
              </w:rPr>
              <w:t>Kinnastel on aas või ava kinnaste riputamiseks karabiini külge;</w:t>
            </w:r>
          </w:p>
          <w:p w:rsidR="00334C00" w:rsidRPr="00334C00" w:rsidRDefault="00334C00" w:rsidP="00334C00">
            <w:pPr>
              <w:ind w:right="17"/>
              <w:rPr>
                <w:rFonts w:ascii="Times New Roman" w:hAnsi="Times New Roman" w:cs="Times New Roman"/>
              </w:rPr>
            </w:pPr>
            <w:r w:rsidRPr="00334C00">
              <w:rPr>
                <w:rFonts w:ascii="Times New Roman" w:hAnsi="Times New Roman" w:cs="Times New Roman"/>
              </w:rPr>
              <w:t>Kindad peavad vastama standardile: EN ISO 21420:2020;</w:t>
            </w:r>
          </w:p>
          <w:p w:rsidR="00334C00" w:rsidRPr="00334C00" w:rsidRDefault="00334C00" w:rsidP="00334C00">
            <w:pPr>
              <w:ind w:right="17"/>
              <w:rPr>
                <w:rFonts w:ascii="Times New Roman" w:hAnsi="Times New Roman" w:cs="Times New Roman"/>
              </w:rPr>
            </w:pPr>
            <w:r w:rsidRPr="00334C00">
              <w:rPr>
                <w:rFonts w:ascii="Times New Roman" w:hAnsi="Times New Roman" w:cs="Times New Roman"/>
              </w:rPr>
              <w:t xml:space="preserve">Suurused: </w:t>
            </w:r>
          </w:p>
          <w:p w:rsidR="00334C00" w:rsidRPr="00334C00" w:rsidRDefault="00334C00" w:rsidP="00334C00">
            <w:pPr>
              <w:pStyle w:val="ListParagraph"/>
              <w:numPr>
                <w:ilvl w:val="0"/>
                <w:numId w:val="3"/>
              </w:numPr>
              <w:ind w:right="17"/>
              <w:rPr>
                <w:rFonts w:ascii="Times New Roman" w:hAnsi="Times New Roman" w:cs="Times New Roman"/>
              </w:rPr>
            </w:pPr>
            <w:r w:rsidRPr="00334C00">
              <w:rPr>
                <w:rFonts w:ascii="Times New Roman" w:hAnsi="Times New Roman" w:cs="Times New Roman"/>
              </w:rPr>
              <w:t xml:space="preserve">suurus 9 – </w:t>
            </w:r>
            <w:r w:rsidR="00B61AC7">
              <w:rPr>
                <w:rFonts w:ascii="Times New Roman" w:hAnsi="Times New Roman" w:cs="Times New Roman"/>
              </w:rPr>
              <w:t xml:space="preserve">9 </w:t>
            </w:r>
            <w:r w:rsidRPr="00334C00">
              <w:rPr>
                <w:rFonts w:ascii="Times New Roman" w:hAnsi="Times New Roman" w:cs="Times New Roman"/>
              </w:rPr>
              <w:t>paari</w:t>
            </w:r>
          </w:p>
          <w:p w:rsidR="00334C00" w:rsidRPr="00334C00" w:rsidRDefault="00334C00" w:rsidP="00334C00">
            <w:pPr>
              <w:pStyle w:val="ListParagraph"/>
              <w:numPr>
                <w:ilvl w:val="0"/>
                <w:numId w:val="3"/>
              </w:numPr>
              <w:ind w:right="17"/>
              <w:rPr>
                <w:rFonts w:ascii="Times New Roman" w:hAnsi="Times New Roman" w:cs="Times New Roman"/>
              </w:rPr>
            </w:pPr>
            <w:r w:rsidRPr="00334C00">
              <w:rPr>
                <w:rFonts w:ascii="Times New Roman" w:hAnsi="Times New Roman" w:cs="Times New Roman"/>
              </w:rPr>
              <w:t>suurus 11 – 1 paar;</w:t>
            </w:r>
          </w:p>
          <w:p w:rsidR="00334C00" w:rsidRPr="00334C00" w:rsidRDefault="00334C00" w:rsidP="00334C00">
            <w:pPr>
              <w:ind w:right="17"/>
              <w:rPr>
                <w:rFonts w:ascii="Times New Roman" w:hAnsi="Times New Roman" w:cs="Times New Roman"/>
              </w:rPr>
            </w:pPr>
            <w:r w:rsidRPr="00334C00">
              <w:rPr>
                <w:rFonts w:ascii="Times New Roman" w:hAnsi="Times New Roman" w:cs="Times New Roman"/>
              </w:rPr>
              <w:t xml:space="preserve">Kokku: </w:t>
            </w:r>
            <w:r w:rsidR="00B61AC7">
              <w:rPr>
                <w:rFonts w:ascii="Times New Roman" w:hAnsi="Times New Roman" w:cs="Times New Roman"/>
              </w:rPr>
              <w:t>10</w:t>
            </w:r>
            <w:r w:rsidRPr="00334C00">
              <w:rPr>
                <w:rFonts w:ascii="Times New Roman" w:hAnsi="Times New Roman" w:cs="Times New Roman"/>
              </w:rPr>
              <w:t xml:space="preserve"> paari kindaid</w:t>
            </w:r>
          </w:p>
          <w:p w:rsidR="00334C00" w:rsidRPr="00334C00" w:rsidRDefault="00334C00" w:rsidP="00334C00">
            <w:pPr>
              <w:ind w:right="17"/>
              <w:rPr>
                <w:rFonts w:ascii="Times New Roman" w:hAnsi="Times New Roman" w:cs="Times New Roman"/>
              </w:rPr>
            </w:pPr>
            <w:r w:rsidRPr="00334C00">
              <w:rPr>
                <w:rFonts w:ascii="Times New Roman" w:hAnsi="Times New Roman" w:cs="Times New Roman"/>
              </w:rPr>
              <w:t>Värvus: must</w:t>
            </w:r>
          </w:p>
          <w:p w:rsidR="00334C00" w:rsidRPr="00334C00" w:rsidRDefault="00334C00" w:rsidP="00334C00">
            <w:pPr>
              <w:ind w:right="17"/>
              <w:rPr>
                <w:rFonts w:ascii="Times New Roman" w:hAnsi="Times New Roman" w:cs="Times New Roman"/>
              </w:rPr>
            </w:pPr>
            <w:r w:rsidRPr="00334C00">
              <w:rPr>
                <w:rFonts w:ascii="Times New Roman" w:hAnsi="Times New Roman" w:cs="Times New Roman"/>
              </w:rPr>
              <w:t xml:space="preserve"> </w:t>
            </w:r>
          </w:p>
        </w:tc>
      </w:tr>
    </w:tbl>
    <w:p w:rsidR="00334C00" w:rsidRPr="00334C00" w:rsidRDefault="00334C00" w:rsidP="00334C00">
      <w:pPr>
        <w:ind w:right="5"/>
        <w:rPr>
          <w:rFonts w:ascii="Times New Roman" w:hAnsi="Times New Roman" w:cs="Times New Roman"/>
        </w:rPr>
      </w:pPr>
    </w:p>
    <w:p w:rsidR="00334C00" w:rsidRPr="00334C00" w:rsidRDefault="00334C00" w:rsidP="00334C00">
      <w:pPr>
        <w:pStyle w:val="Alapealkiri1"/>
        <w:ind w:right="5"/>
        <w:rPr>
          <w:rFonts w:ascii="Times New Roman" w:hAnsi="Times New Roman" w:cs="Times New Roman"/>
          <w:lang w:val="en-GB"/>
        </w:rPr>
      </w:pPr>
      <w:proofErr w:type="spellStart"/>
      <w:r w:rsidRPr="00334C00">
        <w:rPr>
          <w:rFonts w:ascii="Times New Roman" w:hAnsi="Times New Roman" w:cs="Times New Roman"/>
          <w:lang w:val="en-GB"/>
        </w:rPr>
        <w:t>Pakkumus</w:t>
      </w:r>
      <w:proofErr w:type="spellEnd"/>
      <w:r w:rsidRPr="00334C00">
        <w:rPr>
          <w:rFonts w:ascii="Times New Roman" w:hAnsi="Times New Roman" w:cs="Times New Roman"/>
          <w:lang w:val="en-GB"/>
        </w:rPr>
        <w:t xml:space="preserve"> </w:t>
      </w:r>
      <w:proofErr w:type="spellStart"/>
      <w:r w:rsidRPr="00334C00">
        <w:rPr>
          <w:rFonts w:ascii="Times New Roman" w:hAnsi="Times New Roman" w:cs="Times New Roman"/>
          <w:lang w:val="en-GB"/>
        </w:rPr>
        <w:t>ettevalmistamine</w:t>
      </w:r>
      <w:proofErr w:type="spellEnd"/>
      <w:r w:rsidRPr="00334C00">
        <w:rPr>
          <w:rFonts w:ascii="Times New Roman" w:hAnsi="Times New Roman" w:cs="Times New Roman"/>
          <w:lang w:val="en-GB"/>
        </w:rPr>
        <w:t xml:space="preserve">, </w:t>
      </w:r>
      <w:proofErr w:type="spellStart"/>
      <w:r w:rsidRPr="00334C00">
        <w:rPr>
          <w:rFonts w:ascii="Times New Roman" w:hAnsi="Times New Roman" w:cs="Times New Roman"/>
          <w:lang w:val="en-GB"/>
        </w:rPr>
        <w:t>vormistamine</w:t>
      </w:r>
      <w:proofErr w:type="spellEnd"/>
      <w:r w:rsidRPr="00334C00">
        <w:rPr>
          <w:rFonts w:ascii="Times New Roman" w:hAnsi="Times New Roman" w:cs="Times New Roman"/>
          <w:lang w:val="en-GB"/>
        </w:rPr>
        <w:t xml:space="preserve"> ja </w:t>
      </w:r>
      <w:proofErr w:type="spellStart"/>
      <w:r w:rsidRPr="00334C00">
        <w:rPr>
          <w:rFonts w:ascii="Times New Roman" w:hAnsi="Times New Roman" w:cs="Times New Roman"/>
          <w:lang w:val="en-GB"/>
        </w:rPr>
        <w:t>esitamine</w:t>
      </w:r>
      <w:proofErr w:type="spellEnd"/>
    </w:p>
    <w:p w:rsidR="00334C00" w:rsidRPr="00334C00" w:rsidRDefault="00334C00" w:rsidP="00334C00">
      <w:pPr>
        <w:ind w:left="160" w:right="5"/>
        <w:rPr>
          <w:rFonts w:ascii="Times New Roman" w:hAnsi="Times New Roman" w:cs="Times New Roman"/>
          <w:lang w:val="en-GB"/>
        </w:rPr>
      </w:pPr>
      <w:r w:rsidRPr="00334C00">
        <w:rPr>
          <w:rFonts w:ascii="Times New Roman" w:hAnsi="Times New Roman" w:cs="Times New Roman"/>
        </w:rPr>
        <w:t> </w:t>
      </w:r>
    </w:p>
    <w:p w:rsidR="00334C00" w:rsidRPr="00334C00" w:rsidRDefault="00334C00" w:rsidP="00334C00">
      <w:pPr>
        <w:pStyle w:val="ListParagraph"/>
        <w:numPr>
          <w:ilvl w:val="1"/>
          <w:numId w:val="1"/>
        </w:numPr>
        <w:ind w:right="5"/>
        <w:rPr>
          <w:rFonts w:ascii="Times New Roman" w:hAnsi="Times New Roman" w:cs="Times New Roman"/>
          <w:lang w:val="en-GB"/>
        </w:rPr>
      </w:pPr>
      <w:r w:rsidRPr="00334C00">
        <w:rPr>
          <w:rFonts w:ascii="Times New Roman" w:hAnsi="Times New Roman" w:cs="Times New Roman"/>
        </w:rPr>
        <w:t>Pakkumus peab sisaldama:</w:t>
      </w:r>
    </w:p>
    <w:p w:rsidR="00334C00" w:rsidRPr="00334C00" w:rsidRDefault="00334C00" w:rsidP="00334C00">
      <w:pPr>
        <w:pStyle w:val="ListParagraph"/>
        <w:numPr>
          <w:ilvl w:val="2"/>
          <w:numId w:val="1"/>
        </w:numPr>
        <w:ind w:right="5"/>
        <w:rPr>
          <w:rFonts w:ascii="Times New Roman" w:hAnsi="Times New Roman" w:cs="Times New Roman"/>
          <w:sz w:val="23"/>
          <w:szCs w:val="23"/>
          <w:lang w:val="en-GB"/>
        </w:rPr>
      </w:pPr>
      <w:r w:rsidRPr="00334C00">
        <w:rPr>
          <w:rFonts w:ascii="Times New Roman" w:hAnsi="Times New Roman" w:cs="Times New Roman"/>
        </w:rPr>
        <w:t>pakkumuse kogumaksumust (km-ta)</w:t>
      </w:r>
    </w:p>
    <w:p w:rsidR="00334C00" w:rsidRPr="00334C00" w:rsidRDefault="00334C00" w:rsidP="00334C00">
      <w:pPr>
        <w:pStyle w:val="ListParagraph"/>
        <w:numPr>
          <w:ilvl w:val="2"/>
          <w:numId w:val="1"/>
        </w:numPr>
        <w:ind w:right="5"/>
        <w:rPr>
          <w:rFonts w:ascii="Times New Roman" w:hAnsi="Times New Roman" w:cs="Times New Roman"/>
          <w:sz w:val="20"/>
          <w:szCs w:val="20"/>
          <w:lang w:val="en-GB"/>
        </w:rPr>
      </w:pPr>
      <w:r w:rsidRPr="00334C00">
        <w:rPr>
          <w:rFonts w:ascii="Times New Roman" w:hAnsi="Times New Roman" w:cs="Times New Roman"/>
        </w:rPr>
        <w:t xml:space="preserve">asjade tehnilist kirjeldust (sobivad ka tootelingid). </w:t>
      </w:r>
    </w:p>
    <w:p w:rsidR="00334C00" w:rsidRPr="00334C00" w:rsidRDefault="00334C00" w:rsidP="00334C00">
      <w:pPr>
        <w:pStyle w:val="ListParagraph"/>
        <w:numPr>
          <w:ilvl w:val="2"/>
          <w:numId w:val="1"/>
        </w:numPr>
        <w:ind w:right="5"/>
        <w:rPr>
          <w:rFonts w:ascii="Times New Roman" w:hAnsi="Times New Roman" w:cs="Times New Roman"/>
          <w:lang w:val="en-GB"/>
        </w:rPr>
      </w:pPr>
      <w:proofErr w:type="spellStart"/>
      <w:r w:rsidRPr="00334C00">
        <w:rPr>
          <w:rFonts w:ascii="Times New Roman" w:hAnsi="Times New Roman" w:cs="Times New Roman"/>
          <w:lang w:val="en-GB"/>
        </w:rPr>
        <w:t>asjade</w:t>
      </w:r>
      <w:proofErr w:type="spellEnd"/>
      <w:r w:rsidRPr="00334C00">
        <w:rPr>
          <w:rFonts w:ascii="Times New Roman" w:hAnsi="Times New Roman" w:cs="Times New Roman"/>
          <w:lang w:val="en-GB"/>
        </w:rPr>
        <w:t xml:space="preserve"> </w:t>
      </w:r>
      <w:proofErr w:type="spellStart"/>
      <w:r w:rsidRPr="00334C00">
        <w:rPr>
          <w:rFonts w:ascii="Times New Roman" w:hAnsi="Times New Roman" w:cs="Times New Roman"/>
          <w:lang w:val="en-GB"/>
        </w:rPr>
        <w:t>tarneaega</w:t>
      </w:r>
      <w:proofErr w:type="spellEnd"/>
    </w:p>
    <w:p w:rsidR="00334C00" w:rsidRPr="00334C00" w:rsidRDefault="00334C00" w:rsidP="00334C00">
      <w:pPr>
        <w:ind w:left="430" w:right="5"/>
        <w:rPr>
          <w:rFonts w:ascii="Times New Roman" w:hAnsi="Times New Roman" w:cs="Times New Roman"/>
          <w:lang w:val="en-GB"/>
        </w:rPr>
      </w:pPr>
    </w:p>
    <w:p w:rsidR="00334C00" w:rsidRPr="00334C00" w:rsidRDefault="00334C00" w:rsidP="00334C00">
      <w:pPr>
        <w:pStyle w:val="Alapealkiri1"/>
        <w:numPr>
          <w:ilvl w:val="0"/>
          <w:numId w:val="0"/>
        </w:numPr>
        <w:ind w:left="790" w:hanging="360"/>
        <w:rPr>
          <w:rFonts w:ascii="Times New Roman" w:hAnsi="Times New Roman" w:cs="Times New Roman"/>
          <w:b w:val="0"/>
          <w:bCs w:val="0"/>
        </w:rPr>
      </w:pPr>
    </w:p>
    <w:p w:rsidR="00334C00" w:rsidRPr="00334C00" w:rsidRDefault="00334C00" w:rsidP="00334C00">
      <w:pPr>
        <w:pStyle w:val="Alapealkiri1"/>
        <w:numPr>
          <w:ilvl w:val="1"/>
          <w:numId w:val="1"/>
        </w:numPr>
        <w:rPr>
          <w:rFonts w:ascii="Times New Roman" w:hAnsi="Times New Roman" w:cs="Times New Roman"/>
          <w:b w:val="0"/>
          <w:bCs w:val="0"/>
        </w:rPr>
      </w:pPr>
      <w:r w:rsidRPr="00334C00">
        <w:rPr>
          <w:rFonts w:ascii="Times New Roman" w:hAnsi="Times New Roman" w:cs="Times New Roman"/>
          <w:b w:val="0"/>
          <w:bCs w:val="0"/>
        </w:rPr>
        <w:t xml:space="preserve">Pakkumus peab olema esitatud hankija kontaktisiku e-posti aadressile </w:t>
      </w:r>
      <w:hyperlink r:id="rId6" w:history="1">
        <w:r w:rsidRPr="00334C00">
          <w:rPr>
            <w:rStyle w:val="Hyperlink"/>
            <w:rFonts w:ascii="Times New Roman" w:hAnsi="Times New Roman" w:cs="Times New Roman"/>
          </w:rPr>
          <w:t>ilona.horn@politsei.ee</w:t>
        </w:r>
      </w:hyperlink>
      <w:r w:rsidRPr="00334C00">
        <w:rPr>
          <w:rFonts w:ascii="Times New Roman" w:hAnsi="Times New Roman" w:cs="Times New Roman"/>
          <w:b w:val="0"/>
          <w:bCs w:val="0"/>
        </w:rPr>
        <w:t xml:space="preserve"> hiljemalt </w:t>
      </w:r>
      <w:r w:rsidR="00E60852">
        <w:rPr>
          <w:rFonts w:ascii="Times New Roman" w:hAnsi="Times New Roman" w:cs="Times New Roman"/>
        </w:rPr>
        <w:t>15</w:t>
      </w:r>
      <w:r w:rsidRPr="00334C00">
        <w:rPr>
          <w:rFonts w:ascii="Times New Roman" w:hAnsi="Times New Roman" w:cs="Times New Roman"/>
        </w:rPr>
        <w:t>.0</w:t>
      </w:r>
      <w:r w:rsidR="00B61AC7">
        <w:rPr>
          <w:rFonts w:ascii="Times New Roman" w:hAnsi="Times New Roman" w:cs="Times New Roman"/>
        </w:rPr>
        <w:t>4</w:t>
      </w:r>
      <w:r w:rsidRPr="00334C00">
        <w:rPr>
          <w:rFonts w:ascii="Times New Roman" w:hAnsi="Times New Roman" w:cs="Times New Roman"/>
        </w:rPr>
        <w:t>.202</w:t>
      </w:r>
      <w:r w:rsidR="00B61AC7">
        <w:rPr>
          <w:rFonts w:ascii="Times New Roman" w:hAnsi="Times New Roman" w:cs="Times New Roman"/>
        </w:rPr>
        <w:t>5</w:t>
      </w:r>
      <w:r w:rsidR="00E42AF2">
        <w:rPr>
          <w:rFonts w:ascii="Times New Roman" w:hAnsi="Times New Roman" w:cs="Times New Roman"/>
        </w:rPr>
        <w:t xml:space="preserve"> kell 15:00.</w:t>
      </w:r>
      <w:r w:rsidRPr="00334C00">
        <w:rPr>
          <w:rFonts w:ascii="Times New Roman" w:hAnsi="Times New Roman" w:cs="Times New Roman"/>
        </w:rPr>
        <w:t xml:space="preserve"> </w:t>
      </w:r>
      <w:r w:rsidRPr="00334C00">
        <w:rPr>
          <w:rFonts w:ascii="Times New Roman" w:hAnsi="Times New Roman" w:cs="Times New Roman"/>
          <w:b w:val="0"/>
          <w:bCs w:val="0"/>
        </w:rPr>
        <w:t xml:space="preserve">Hilinenud pakkumusi hankija vastu ei võta. </w:t>
      </w:r>
    </w:p>
    <w:p w:rsidR="00334C00" w:rsidRPr="00334C00" w:rsidRDefault="00334C00" w:rsidP="00334C00">
      <w:pPr>
        <w:pStyle w:val="Alapealkiri1"/>
        <w:numPr>
          <w:ilvl w:val="0"/>
          <w:numId w:val="0"/>
        </w:numPr>
        <w:ind w:left="790" w:hanging="360"/>
        <w:rPr>
          <w:rFonts w:ascii="Times New Roman" w:hAnsi="Times New Roman" w:cs="Times New Roman"/>
          <w:b w:val="0"/>
          <w:bCs w:val="0"/>
        </w:rPr>
      </w:pPr>
    </w:p>
    <w:p w:rsidR="00334C00" w:rsidRPr="00334C00" w:rsidRDefault="00334C00" w:rsidP="00334C00">
      <w:pPr>
        <w:pStyle w:val="Alapealkiri1"/>
        <w:numPr>
          <w:ilvl w:val="1"/>
          <w:numId w:val="1"/>
        </w:numPr>
        <w:ind w:left="993" w:hanging="567"/>
        <w:rPr>
          <w:rFonts w:ascii="Times New Roman" w:hAnsi="Times New Roman" w:cs="Times New Roman"/>
          <w:b w:val="0"/>
          <w:bCs w:val="0"/>
        </w:rPr>
      </w:pPr>
      <w:r w:rsidRPr="00334C00">
        <w:rPr>
          <w:rFonts w:ascii="Times New Roman" w:hAnsi="Times New Roman" w:cs="Times New Roman"/>
          <w:b w:val="0"/>
          <w:bCs w:val="0"/>
        </w:rPr>
        <w:t>Hankijal on õigus pakkumuste esitamise tähtaega pikendada.</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Pakkuja kannab kõik pakkumuse ettevalmistamise ja esitamisega seotud kulud ning pakkumuse tähtaegse esitamise riski.</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Pakkumus on konfidentsiaalne kuni hankelepingu sõlmimiseni.</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334C00" w:rsidRPr="00334C00" w:rsidRDefault="00334C00" w:rsidP="00334C00">
      <w:pPr>
        <w:pStyle w:val="Default"/>
        <w:ind w:left="993"/>
        <w:jc w:val="both"/>
        <w:rPr>
          <w:color w:val="auto"/>
          <w:sz w:val="22"/>
          <w:szCs w:val="22"/>
        </w:rPr>
      </w:pPr>
    </w:p>
    <w:p w:rsidR="00334C00" w:rsidRPr="00334C00" w:rsidRDefault="00334C00" w:rsidP="00334C00">
      <w:pPr>
        <w:pStyle w:val="Alapealkiri1"/>
        <w:ind w:left="284" w:firstLine="142"/>
        <w:rPr>
          <w:rFonts w:ascii="Times New Roman" w:hAnsi="Times New Roman" w:cs="Times New Roman"/>
          <w:color w:val="auto"/>
        </w:rPr>
      </w:pPr>
      <w:r w:rsidRPr="00334C00">
        <w:rPr>
          <w:rFonts w:ascii="Times New Roman" w:hAnsi="Times New Roman" w:cs="Times New Roman"/>
        </w:rPr>
        <w:lastRenderedPageBreak/>
        <w:t>Pakkumuste kontrollimine ja eduka pakkumuse valik</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 xml:space="preserve">Hankija kontrollib tähtaegselt esitatud pakkumuste vastavust väikeostu dokumentides esitatud nõuetele. Juhul, kui pakkumus ei vasta väikeostu dokumendis toodud tingimustele, lükkab hankija pakkumuse tagasi. </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Hankijal on õigus küsida pakkujalt esitatud pakkumuse kohta täpsustavaid andmeid ja täiendavaid selgitusi.</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 xml:space="preserve">Vastavaks tunnistatud pakkumuste seast valib hankija eduka pakkumuse </w:t>
      </w:r>
      <w:r w:rsidRPr="00E42AF2">
        <w:rPr>
          <w:color w:val="auto"/>
          <w:sz w:val="22"/>
          <w:szCs w:val="22"/>
          <w:u w:val="single"/>
        </w:rPr>
        <w:t xml:space="preserve">välja </w:t>
      </w:r>
      <w:r w:rsidRPr="00E42AF2">
        <w:rPr>
          <w:sz w:val="22"/>
          <w:szCs w:val="22"/>
          <w:u w:val="single"/>
        </w:rPr>
        <w:t>madalaima hinna alusel</w:t>
      </w:r>
      <w:r w:rsidR="00E42AF2">
        <w:rPr>
          <w:sz w:val="22"/>
          <w:szCs w:val="22"/>
        </w:rPr>
        <w:t>. Kui pakkumused</w:t>
      </w:r>
      <w:r w:rsidRPr="00334C00">
        <w:rPr>
          <w:sz w:val="22"/>
          <w:szCs w:val="22"/>
        </w:rPr>
        <w:t xml:space="preserve"> </w:t>
      </w:r>
      <w:r w:rsidRPr="00334C00">
        <w:rPr>
          <w:color w:val="auto"/>
          <w:sz w:val="22"/>
          <w:szCs w:val="22"/>
        </w:rPr>
        <w:t>on võrdsed, korraldab hankija eduka pakkumuse väljaselgitamiseks liisuheitmise, võimaldades võrdse maksumusega pakkumuse esitanud pakkujatel liisuheitmise juures viibida.</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 xml:space="preserve">Kui te soovi pakkumust esitada, palume sellest samuti teavitada käesoleval e-posti aadressil </w:t>
      </w:r>
      <w:hyperlink r:id="rId7" w:history="1">
        <w:r w:rsidRPr="00334C00">
          <w:rPr>
            <w:rStyle w:val="Hyperlink"/>
            <w:sz w:val="22"/>
            <w:szCs w:val="22"/>
          </w:rPr>
          <w:t>ilona.horn@politsei.ee</w:t>
        </w:r>
      </w:hyperlink>
      <w:r w:rsidRPr="00334C00">
        <w:rPr>
          <w:color w:val="auto"/>
          <w:sz w:val="22"/>
          <w:szCs w:val="22"/>
        </w:rPr>
        <w:t xml:space="preserve"> </w:t>
      </w:r>
    </w:p>
    <w:p w:rsidR="00334C00" w:rsidRPr="00334C00" w:rsidRDefault="00334C00" w:rsidP="00334C00">
      <w:pPr>
        <w:pStyle w:val="Alapealkiri1"/>
        <w:numPr>
          <w:ilvl w:val="0"/>
          <w:numId w:val="0"/>
        </w:numPr>
        <w:ind w:left="790" w:hanging="360"/>
        <w:rPr>
          <w:rFonts w:ascii="Times New Roman" w:hAnsi="Times New Roman" w:cs="Times New Roman"/>
          <w:b w:val="0"/>
          <w:bCs w:val="0"/>
        </w:rPr>
      </w:pPr>
    </w:p>
    <w:p w:rsidR="00334C00" w:rsidRPr="00334C00" w:rsidRDefault="00334C00" w:rsidP="00334C00">
      <w:pPr>
        <w:spacing w:line="252" w:lineRule="auto"/>
        <w:rPr>
          <w:rFonts w:ascii="Times New Roman" w:hAnsi="Times New Roman" w:cs="Times New Roman"/>
        </w:rPr>
      </w:pPr>
      <w:r w:rsidRPr="00334C00">
        <w:rPr>
          <w:rFonts w:ascii="Times New Roman" w:hAnsi="Times New Roman" w:cs="Times New Roman"/>
        </w:rPr>
        <w:t> </w:t>
      </w:r>
    </w:p>
    <w:p w:rsidR="00334C00" w:rsidRPr="00334C00" w:rsidRDefault="00334C00" w:rsidP="00334C00">
      <w:pPr>
        <w:pStyle w:val="Alapealkiri1"/>
        <w:ind w:left="284" w:firstLine="142"/>
        <w:rPr>
          <w:rFonts w:ascii="Times New Roman" w:hAnsi="Times New Roman" w:cs="Times New Roman"/>
          <w:i/>
          <w:iCs/>
        </w:rPr>
      </w:pPr>
      <w:r w:rsidRPr="00334C00">
        <w:rPr>
          <w:rFonts w:ascii="Times New Roman" w:hAnsi="Times New Roman" w:cs="Times New Roman"/>
        </w:rPr>
        <w:t>Arve esitamise tingimused</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Hankija võtab vastu ainult e-arveid. Raamatupidamise seaduse kohaselt on e-arve operaatoriks masintöödeldava algdokumendi käitlemise teenuse pakkuja, kelle kohta on tehtud märge hankija andmetes juriidiliste isikute kohta peetavas riiklikus registris.</w:t>
      </w:r>
    </w:p>
    <w:p w:rsidR="00334C00" w:rsidRPr="00334C00" w:rsidRDefault="00334C00" w:rsidP="00334C00">
      <w:pPr>
        <w:pStyle w:val="Alapealkiri1"/>
        <w:numPr>
          <w:ilvl w:val="1"/>
          <w:numId w:val="1"/>
        </w:numPr>
        <w:ind w:left="644" w:hanging="218"/>
        <w:rPr>
          <w:rFonts w:ascii="Times New Roman" w:hAnsi="Times New Roman" w:cs="Times New Roman"/>
          <w:b w:val="0"/>
          <w:bCs w:val="0"/>
          <w:color w:val="auto"/>
        </w:rPr>
      </w:pPr>
      <w:r w:rsidRPr="00334C00">
        <w:rPr>
          <w:rFonts w:ascii="Times New Roman" w:hAnsi="Times New Roman" w:cs="Times New Roman"/>
          <w:b w:val="0"/>
          <w:bCs w:val="0"/>
        </w:rPr>
        <w:t>E-arve saatmise võimalused:</w:t>
      </w:r>
    </w:p>
    <w:p w:rsidR="00334C00" w:rsidRPr="00334C00" w:rsidRDefault="00334C00" w:rsidP="00334C00">
      <w:pPr>
        <w:pStyle w:val="ListParagraph"/>
        <w:numPr>
          <w:ilvl w:val="2"/>
          <w:numId w:val="1"/>
        </w:numPr>
        <w:autoSpaceDE w:val="0"/>
        <w:autoSpaceDN w:val="0"/>
        <w:spacing w:after="160" w:line="252" w:lineRule="auto"/>
        <w:ind w:left="1560" w:hanging="567"/>
        <w:rPr>
          <w:rFonts w:ascii="Times New Roman" w:hAnsi="Times New Roman" w:cs="Times New Roman"/>
        </w:rPr>
      </w:pPr>
      <w:r w:rsidRPr="00334C00">
        <w:rPr>
          <w:rFonts w:ascii="Times New Roman" w:hAnsi="Times New Roman" w:cs="Times New Roman"/>
        </w:rPr>
        <w:t>kui pakkuja on e-arvete operaatori klient, edastada e-arve oma operaatorile, kelle kaudu see jõuab hankijani;</w:t>
      </w:r>
    </w:p>
    <w:p w:rsidR="00334C00" w:rsidRPr="00334C00" w:rsidRDefault="00334C00" w:rsidP="00334C00">
      <w:pPr>
        <w:pStyle w:val="ListParagraph"/>
        <w:numPr>
          <w:ilvl w:val="2"/>
          <w:numId w:val="1"/>
        </w:numPr>
        <w:autoSpaceDE w:val="0"/>
        <w:autoSpaceDN w:val="0"/>
        <w:spacing w:after="160" w:line="252" w:lineRule="auto"/>
        <w:ind w:left="1560" w:hanging="567"/>
        <w:rPr>
          <w:rFonts w:ascii="Times New Roman" w:hAnsi="Times New Roman" w:cs="Times New Roman"/>
        </w:rPr>
      </w:pPr>
      <w:r w:rsidRPr="00334C00">
        <w:rPr>
          <w:rFonts w:ascii="Times New Roman" w:hAnsi="Times New Roman" w:cs="Times New Roman"/>
        </w:rPr>
        <w:t>hankijale on võimalik saata e-arvet tasuta, kasutades infosüsteeme:</w:t>
      </w:r>
    </w:p>
    <w:p w:rsidR="00334C00" w:rsidRPr="00334C00" w:rsidRDefault="00334C00" w:rsidP="00334C00">
      <w:pPr>
        <w:pStyle w:val="ListParagraph"/>
        <w:numPr>
          <w:ilvl w:val="0"/>
          <w:numId w:val="2"/>
        </w:numPr>
        <w:autoSpaceDE w:val="0"/>
        <w:autoSpaceDN w:val="0"/>
        <w:spacing w:after="160" w:line="252" w:lineRule="auto"/>
        <w:rPr>
          <w:rFonts w:ascii="Times New Roman" w:hAnsi="Times New Roman" w:cs="Times New Roman"/>
        </w:rPr>
      </w:pPr>
      <w:r w:rsidRPr="00334C00">
        <w:rPr>
          <w:rFonts w:ascii="Times New Roman" w:hAnsi="Times New Roman" w:cs="Times New Roman"/>
        </w:rPr>
        <w:t>e-</w:t>
      </w:r>
      <w:proofErr w:type="spellStart"/>
      <w:r w:rsidRPr="00334C00">
        <w:rPr>
          <w:rFonts w:ascii="Times New Roman" w:hAnsi="Times New Roman" w:cs="Times New Roman"/>
        </w:rPr>
        <w:t>arveldaja</w:t>
      </w:r>
      <w:proofErr w:type="spellEnd"/>
      <w:r w:rsidRPr="00334C00">
        <w:rPr>
          <w:rFonts w:ascii="Times New Roman" w:hAnsi="Times New Roman" w:cs="Times New Roman"/>
        </w:rPr>
        <w:t xml:space="preserve"> (</w:t>
      </w:r>
      <w:hyperlink r:id="rId8" w:history="1">
        <w:r w:rsidRPr="00334C00">
          <w:rPr>
            <w:rStyle w:val="Hyperlink"/>
            <w:rFonts w:ascii="Times New Roman" w:hAnsi="Times New Roman" w:cs="Times New Roman"/>
          </w:rPr>
          <w:t>http://www.rik.ee/et/e-arveldaja</w:t>
        </w:r>
      </w:hyperlink>
      <w:r w:rsidRPr="00334C00">
        <w:rPr>
          <w:rFonts w:ascii="Times New Roman" w:hAnsi="Times New Roman" w:cs="Times New Roman"/>
        </w:rPr>
        <w:t xml:space="preserve">). </w:t>
      </w:r>
    </w:p>
    <w:p w:rsidR="00334C00" w:rsidRPr="00334C00" w:rsidRDefault="00334C00" w:rsidP="00334C00">
      <w:pPr>
        <w:pStyle w:val="ListParagraph"/>
        <w:numPr>
          <w:ilvl w:val="0"/>
          <w:numId w:val="2"/>
        </w:numPr>
        <w:autoSpaceDE w:val="0"/>
        <w:autoSpaceDN w:val="0"/>
        <w:spacing w:after="0" w:line="252" w:lineRule="auto"/>
        <w:rPr>
          <w:rFonts w:ascii="Times New Roman" w:hAnsi="Times New Roman" w:cs="Times New Roman"/>
        </w:rPr>
      </w:pPr>
      <w:r w:rsidRPr="00334C00">
        <w:rPr>
          <w:rFonts w:ascii="Times New Roman" w:hAnsi="Times New Roman" w:cs="Times New Roman"/>
        </w:rPr>
        <w:t>arved.ee (</w:t>
      </w:r>
      <w:hyperlink r:id="rId9" w:history="1">
        <w:r w:rsidRPr="00334C00">
          <w:rPr>
            <w:rStyle w:val="Hyperlink"/>
            <w:rFonts w:ascii="Times New Roman" w:hAnsi="Times New Roman" w:cs="Times New Roman"/>
          </w:rPr>
          <w:t>https://www.arved.ee</w:t>
        </w:r>
      </w:hyperlink>
      <w:r w:rsidRPr="00334C00">
        <w:rPr>
          <w:rStyle w:val="Hyperlink"/>
          <w:rFonts w:ascii="Times New Roman" w:hAnsi="Times New Roman" w:cs="Times New Roman"/>
        </w:rPr>
        <w:t>)</w:t>
      </w:r>
      <w:r w:rsidRPr="00334C00">
        <w:rPr>
          <w:rFonts w:ascii="Times New Roman" w:hAnsi="Times New Roman" w:cs="Times New Roman"/>
        </w:rPr>
        <w:t xml:space="preserve"> </w:t>
      </w:r>
    </w:p>
    <w:p w:rsidR="00334C00" w:rsidRPr="00334C00" w:rsidRDefault="00334C00" w:rsidP="00334C00">
      <w:pPr>
        <w:autoSpaceDE w:val="0"/>
        <w:autoSpaceDN w:val="0"/>
        <w:ind w:left="1560"/>
        <w:rPr>
          <w:rFonts w:ascii="Times New Roman" w:hAnsi="Times New Roman" w:cs="Times New Roman"/>
        </w:rPr>
      </w:pPr>
      <w:r w:rsidRPr="00334C00">
        <w:rPr>
          <w:rFonts w:ascii="Times New Roman" w:hAnsi="Times New Roman" w:cs="Times New Roman"/>
        </w:rPr>
        <w:t xml:space="preserve">Nimetatud infosüsteemides tuleb avada kasutaja konto, neis on võimalik arve sisestada ja edastada. Avaliku sektori üksustele e-arvete esitamine on tasuta ja  piiramata koguses. </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 xml:space="preserve">Pakkuja esitatav arve peab vastama käibemaksuseaduse nõuetele, sisaldama </w:t>
      </w:r>
      <w:r w:rsidRPr="00334C00">
        <w:rPr>
          <w:b/>
          <w:bCs/>
          <w:color w:val="auto"/>
          <w:sz w:val="22"/>
          <w:szCs w:val="22"/>
        </w:rPr>
        <w:t>hankija kontaktisiku nime ja kirjaliku lepingu olemasolul tuleb viidata lepingu numbrile</w:t>
      </w:r>
      <w:r w:rsidRPr="00334C00">
        <w:rPr>
          <w:color w:val="auto"/>
          <w:sz w:val="22"/>
          <w:szCs w:val="22"/>
        </w:rPr>
        <w:t>.</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rsidR="00334C00" w:rsidRPr="00334C00" w:rsidRDefault="00334C00" w:rsidP="00334C00">
      <w:pPr>
        <w:pStyle w:val="Default"/>
        <w:numPr>
          <w:ilvl w:val="1"/>
          <w:numId w:val="1"/>
        </w:numPr>
        <w:ind w:left="993" w:hanging="563"/>
        <w:jc w:val="both"/>
        <w:rPr>
          <w:color w:val="auto"/>
          <w:sz w:val="22"/>
          <w:szCs w:val="22"/>
        </w:rPr>
      </w:pPr>
      <w:r w:rsidRPr="00334C00">
        <w:rPr>
          <w:color w:val="auto"/>
          <w:sz w:val="22"/>
          <w:szCs w:val="22"/>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rsidR="00334C00" w:rsidRPr="00334C00" w:rsidRDefault="00334C00" w:rsidP="00334C00">
      <w:pPr>
        <w:pStyle w:val="Alapealkiri1"/>
        <w:numPr>
          <w:ilvl w:val="0"/>
          <w:numId w:val="0"/>
        </w:numPr>
        <w:ind w:left="1150"/>
        <w:rPr>
          <w:rFonts w:ascii="Times New Roman" w:hAnsi="Times New Roman" w:cs="Times New Roman"/>
          <w:b w:val="0"/>
          <w:bCs w:val="0"/>
          <w:color w:val="auto"/>
        </w:rPr>
      </w:pPr>
    </w:p>
    <w:p w:rsidR="00334C00" w:rsidRPr="00334C00" w:rsidRDefault="00334C00" w:rsidP="00334C00">
      <w:pPr>
        <w:spacing w:line="252" w:lineRule="auto"/>
        <w:rPr>
          <w:rFonts w:ascii="Times New Roman" w:hAnsi="Times New Roman" w:cs="Times New Roman"/>
        </w:rPr>
      </w:pPr>
      <w:r w:rsidRPr="00334C00">
        <w:rPr>
          <w:rFonts w:ascii="Times New Roman" w:hAnsi="Times New Roman" w:cs="Times New Roman"/>
        </w:rPr>
        <w:t> </w:t>
      </w:r>
    </w:p>
    <w:p w:rsidR="00334C00" w:rsidRPr="00334C00" w:rsidRDefault="00334C00" w:rsidP="00334C00">
      <w:pPr>
        <w:rPr>
          <w:rFonts w:ascii="Times New Roman" w:hAnsi="Times New Roman" w:cs="Times New Roman"/>
        </w:rPr>
      </w:pPr>
      <w:r w:rsidRPr="00334C00">
        <w:rPr>
          <w:rFonts w:ascii="Times New Roman" w:hAnsi="Times New Roman" w:cs="Times New Roman"/>
        </w:rPr>
        <w:t> </w:t>
      </w:r>
    </w:p>
    <w:p w:rsidR="00334C00" w:rsidRPr="00334C00" w:rsidRDefault="00334C00" w:rsidP="00334C00">
      <w:pPr>
        <w:rPr>
          <w:rFonts w:ascii="Times New Roman" w:hAnsi="Times New Roman" w:cs="Times New Roman"/>
        </w:rPr>
      </w:pPr>
    </w:p>
    <w:p w:rsidR="00334C00" w:rsidRPr="00334C00" w:rsidRDefault="00334C00" w:rsidP="00334C00">
      <w:pPr>
        <w:rPr>
          <w:rFonts w:ascii="Times New Roman" w:hAnsi="Times New Roman" w:cs="Times New Roman"/>
        </w:rPr>
      </w:pPr>
    </w:p>
    <w:p w:rsidR="00334C00" w:rsidRPr="00334C00" w:rsidRDefault="00334C00">
      <w:pPr>
        <w:rPr>
          <w:rFonts w:ascii="Times New Roman" w:hAnsi="Times New Roman" w:cs="Times New Roman"/>
        </w:rPr>
      </w:pPr>
    </w:p>
    <w:sectPr w:rsidR="00334C00" w:rsidRPr="00334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1" w15:restartNumberingAfterBreak="0">
    <w:nsid w:val="7E915063"/>
    <w:multiLevelType w:val="hybridMultilevel"/>
    <w:tmpl w:val="3DAEBC68"/>
    <w:lvl w:ilvl="0" w:tplc="426A32B8">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00"/>
    <w:rsid w:val="00334C00"/>
    <w:rsid w:val="00B61AC7"/>
    <w:rsid w:val="00E42AF2"/>
    <w:rsid w:val="00E608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E8E5"/>
  <w15:chartTrackingRefBased/>
  <w15:docId w15:val="{D42DFC2A-6FB8-49DD-82FE-0CB37FFF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4C00"/>
    <w:rPr>
      <w:color w:val="0563C1"/>
      <w:u w:val="single"/>
    </w:rPr>
  </w:style>
  <w:style w:type="character" w:customStyle="1" w:styleId="ListParagraphChar">
    <w:name w:val="List Paragraph Char"/>
    <w:aliases w:val="Mummuga loetelu Char"/>
    <w:basedOn w:val="DefaultParagraphFont"/>
    <w:link w:val="ListParagraph"/>
    <w:uiPriority w:val="34"/>
    <w:locked/>
    <w:rsid w:val="00334C00"/>
    <w:rPr>
      <w:rFonts w:ascii="Calibri" w:hAnsi="Calibri" w:cs="Calibri"/>
      <w:color w:val="000000"/>
    </w:rPr>
  </w:style>
  <w:style w:type="paragraph" w:styleId="ListParagraph">
    <w:name w:val="List Paragraph"/>
    <w:aliases w:val="Mummuga loetelu"/>
    <w:basedOn w:val="Normal"/>
    <w:link w:val="ListParagraphChar"/>
    <w:uiPriority w:val="34"/>
    <w:qFormat/>
    <w:rsid w:val="00334C00"/>
    <w:pPr>
      <w:spacing w:after="14" w:line="240" w:lineRule="auto"/>
      <w:ind w:left="720" w:hanging="10"/>
      <w:contextualSpacing/>
      <w:jc w:val="both"/>
    </w:pPr>
    <w:rPr>
      <w:rFonts w:ascii="Calibri" w:hAnsi="Calibri" w:cs="Calibri"/>
      <w:color w:val="000000"/>
    </w:rPr>
  </w:style>
  <w:style w:type="character" w:customStyle="1" w:styleId="Alapealkiri1Char">
    <w:name w:val="Alapealkiri 1 Char"/>
    <w:basedOn w:val="DefaultParagraphFont"/>
    <w:link w:val="Alapealkiri1"/>
    <w:locked/>
    <w:rsid w:val="00334C00"/>
    <w:rPr>
      <w:rFonts w:ascii="Calibri" w:hAnsi="Calibri" w:cs="Calibri"/>
      <w:b/>
      <w:bCs/>
      <w:color w:val="000000"/>
    </w:rPr>
  </w:style>
  <w:style w:type="paragraph" w:customStyle="1" w:styleId="Alapealkiri1">
    <w:name w:val="Alapealkiri 1"/>
    <w:basedOn w:val="Normal"/>
    <w:link w:val="Alapealkiri1Char"/>
    <w:rsid w:val="00334C00"/>
    <w:pPr>
      <w:numPr>
        <w:numId w:val="1"/>
      </w:numPr>
      <w:spacing w:after="0" w:line="240" w:lineRule="auto"/>
      <w:contextualSpacing/>
      <w:jc w:val="both"/>
    </w:pPr>
    <w:rPr>
      <w:rFonts w:ascii="Calibri" w:hAnsi="Calibri" w:cs="Calibri"/>
      <w:b/>
      <w:bCs/>
      <w:color w:val="000000"/>
    </w:rPr>
  </w:style>
  <w:style w:type="paragraph" w:customStyle="1" w:styleId="Default">
    <w:name w:val="Default"/>
    <w:basedOn w:val="Normal"/>
    <w:rsid w:val="00334C00"/>
    <w:pPr>
      <w:autoSpaceDE w:val="0"/>
      <w:autoSpaceDN w:val="0"/>
      <w:spacing w:after="0" w:line="240" w:lineRule="auto"/>
    </w:pPr>
    <w:rPr>
      <w:rFonts w:ascii="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k.ee/et/e-arveldaja" TargetMode="External"/><Relationship Id="rId3" Type="http://schemas.openxmlformats.org/officeDocument/2006/relationships/settings" Target="settings.xml"/><Relationship Id="rId7" Type="http://schemas.openxmlformats.org/officeDocument/2006/relationships/hyperlink" Target="mailto:ilona.horn@politse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horn@politsei.ee" TargetMode="External"/><Relationship Id="rId11" Type="http://schemas.openxmlformats.org/officeDocument/2006/relationships/theme" Target="theme/theme1.xml"/><Relationship Id="rId5" Type="http://schemas.openxmlformats.org/officeDocument/2006/relationships/hyperlink" Target="mailto:ilona.horn@politsei.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ve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3</cp:revision>
  <dcterms:created xsi:type="dcterms:W3CDTF">2025-03-31T12:40:00Z</dcterms:created>
  <dcterms:modified xsi:type="dcterms:W3CDTF">2025-04-08T08:48:00Z</dcterms:modified>
</cp:coreProperties>
</file>